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88D2" w14:textId="77777777" w:rsidR="0008073A" w:rsidRDefault="00177A00" w:rsidP="00177A00">
      <w:pPr>
        <w:jc w:val="center"/>
        <w:rPr>
          <w:rFonts w:cstheme="minorHAnsi"/>
          <w:b/>
          <w:bCs/>
        </w:rPr>
      </w:pPr>
      <w:bookmarkStart w:id="0" w:name="_Hlk58926067"/>
      <w:r>
        <w:rPr>
          <w:rFonts w:cstheme="minorHAnsi"/>
          <w:b/>
          <w:bCs/>
          <w:sz w:val="24"/>
          <w:szCs w:val="24"/>
        </w:rPr>
        <w:br w:type="textWrapping" w:clear="all"/>
      </w:r>
    </w:p>
    <w:bookmarkEnd w:id="0"/>
    <w:p w14:paraId="2E67896B" w14:textId="6C5CC4C0" w:rsidR="00693896" w:rsidRDefault="007968C4" w:rsidP="0092682F">
      <w:pPr>
        <w:pStyle w:val="Akapitzlist"/>
        <w:spacing w:line="276" w:lineRule="auto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Debiut obligacji firmy PROFBUD na rynku </w:t>
      </w:r>
      <w:proofErr w:type="spellStart"/>
      <w: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Catalyst</w:t>
      </w:r>
      <w:proofErr w:type="spellEnd"/>
      <w: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–</w:t>
      </w:r>
      <w:r w:rsidR="00FD7C7B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kamień milowy w </w:t>
      </w:r>
      <w:r w:rsidR="00896404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rozwoju grupy kapitałowej </w:t>
      </w:r>
    </w:p>
    <w:p w14:paraId="602B9F46" w14:textId="2ECF7572" w:rsidR="007968C4" w:rsidRPr="00111A4D" w:rsidRDefault="007968C4" w:rsidP="00A920D1">
      <w:pPr>
        <w:shd w:val="clear" w:color="auto" w:fill="FFFFFF"/>
        <w:spacing w:after="240" w:line="276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11A4D">
        <w:rPr>
          <w:rFonts w:eastAsia="Times New Roman" w:cstheme="minorHAnsi"/>
          <w:b/>
          <w:bCs/>
          <w:color w:val="000000" w:themeColor="text1"/>
          <w:lang w:eastAsia="pl-PL"/>
        </w:rPr>
        <w:t xml:space="preserve">Wraz z końcem sierpnia br. na rynku </w:t>
      </w:r>
      <w:proofErr w:type="spellStart"/>
      <w:r w:rsidRPr="00111A4D">
        <w:rPr>
          <w:rFonts w:eastAsia="Times New Roman" w:cstheme="minorHAnsi"/>
          <w:b/>
          <w:bCs/>
          <w:color w:val="000000" w:themeColor="text1"/>
          <w:lang w:eastAsia="pl-PL"/>
        </w:rPr>
        <w:t>Catalyst</w:t>
      </w:r>
      <w:proofErr w:type="spellEnd"/>
      <w:r w:rsidRPr="00111A4D">
        <w:rPr>
          <w:rFonts w:eastAsia="Times New Roman" w:cstheme="minorHAnsi"/>
          <w:b/>
          <w:bCs/>
          <w:color w:val="000000" w:themeColor="text1"/>
          <w:lang w:eastAsia="pl-PL"/>
        </w:rPr>
        <w:t xml:space="preserve"> zadebiutowały obligacje wyemitowane przez spółkę INFINITY S.A.</w:t>
      </w:r>
      <w:r w:rsidR="00896404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4C35F2">
        <w:rPr>
          <w:rFonts w:eastAsia="Times New Roman" w:cstheme="minorHAnsi"/>
          <w:b/>
          <w:bCs/>
          <w:color w:val="000000" w:themeColor="text1"/>
          <w:lang w:eastAsia="pl-PL"/>
        </w:rPr>
        <w:t>–</w:t>
      </w:r>
      <w:r w:rsidR="00896404">
        <w:rPr>
          <w:rFonts w:eastAsia="Times New Roman" w:cstheme="minorHAnsi"/>
          <w:b/>
          <w:bCs/>
          <w:color w:val="000000" w:themeColor="text1"/>
          <w:lang w:eastAsia="pl-PL"/>
        </w:rPr>
        <w:t xml:space="preserve"> spółkę dominującą grupy kapitałowej działającej pod marką </w:t>
      </w:r>
      <w:r w:rsidR="004C35F2">
        <w:rPr>
          <w:rFonts w:eastAsia="Times New Roman" w:cstheme="minorHAnsi"/>
          <w:b/>
          <w:bCs/>
          <w:color w:val="000000" w:themeColor="text1"/>
          <w:lang w:eastAsia="pl-PL"/>
        </w:rPr>
        <w:t>PROFBUD</w:t>
      </w:r>
      <w:r w:rsidR="00896404">
        <w:rPr>
          <w:rFonts w:eastAsia="Times New Roman" w:cstheme="minorHAnsi"/>
          <w:b/>
          <w:bCs/>
          <w:color w:val="000000" w:themeColor="text1"/>
          <w:lang w:eastAsia="pl-PL"/>
        </w:rPr>
        <w:t>.</w:t>
      </w:r>
      <w:r w:rsidRPr="00111A4D">
        <w:rPr>
          <w:rFonts w:eastAsia="Times New Roman" w:cstheme="minorHAnsi"/>
          <w:b/>
          <w:bCs/>
          <w:color w:val="000000" w:themeColor="text1"/>
          <w:lang w:eastAsia="pl-PL"/>
        </w:rPr>
        <w:t xml:space="preserve"> Jest to 131.</w:t>
      </w:r>
      <w:r w:rsidR="00104330" w:rsidRPr="00111A4D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Pr="00111A4D">
        <w:rPr>
          <w:rFonts w:eastAsia="Times New Roman" w:cstheme="minorHAnsi"/>
          <w:b/>
          <w:bCs/>
          <w:color w:val="000000" w:themeColor="text1"/>
          <w:lang w:eastAsia="pl-PL"/>
        </w:rPr>
        <w:t xml:space="preserve">emitent papierów dłużnych na rynku </w:t>
      </w:r>
      <w:proofErr w:type="spellStart"/>
      <w:r w:rsidRPr="00111A4D">
        <w:rPr>
          <w:rFonts w:eastAsia="Times New Roman" w:cstheme="minorHAnsi"/>
          <w:b/>
          <w:bCs/>
          <w:color w:val="000000" w:themeColor="text1"/>
          <w:lang w:eastAsia="pl-PL"/>
        </w:rPr>
        <w:t>Catalyst</w:t>
      </w:r>
      <w:proofErr w:type="spellEnd"/>
      <w:r w:rsidRPr="00111A4D">
        <w:rPr>
          <w:rFonts w:eastAsia="Times New Roman" w:cstheme="minorHAnsi"/>
          <w:b/>
          <w:bCs/>
          <w:color w:val="000000" w:themeColor="text1"/>
          <w:lang w:eastAsia="pl-PL"/>
        </w:rPr>
        <w:t xml:space="preserve"> oraz 13. debiut na tym rynku w 2021 roku.</w:t>
      </w:r>
      <w:r w:rsidR="00600402" w:rsidRPr="00111A4D">
        <w:rPr>
          <w:rFonts w:eastAsia="Times New Roman" w:cstheme="minorHAnsi"/>
          <w:b/>
          <w:bCs/>
          <w:color w:val="000000" w:themeColor="text1"/>
          <w:lang w:eastAsia="pl-PL"/>
        </w:rPr>
        <w:t xml:space="preserve"> W wydarzeniu wzięli udział przedstawiciele GPW oraz </w:t>
      </w:r>
      <w:r w:rsidR="007C57A8">
        <w:rPr>
          <w:rFonts w:eastAsia="Times New Roman" w:cstheme="minorHAnsi"/>
          <w:b/>
          <w:bCs/>
          <w:color w:val="000000" w:themeColor="text1"/>
          <w:lang w:eastAsia="pl-PL"/>
        </w:rPr>
        <w:t>C</w:t>
      </w:r>
      <w:r w:rsidR="00600402" w:rsidRPr="00111A4D">
        <w:rPr>
          <w:rFonts w:eastAsia="Times New Roman" w:cstheme="minorHAnsi"/>
          <w:b/>
          <w:bCs/>
          <w:color w:val="000000" w:themeColor="text1"/>
          <w:lang w:eastAsia="pl-PL"/>
        </w:rPr>
        <w:t xml:space="preserve">złonkowie Zarządu, przedstawiając plany rozwoju firmy w kolejnych latach.  </w:t>
      </w:r>
    </w:p>
    <w:p w14:paraId="1A36F12A" w14:textId="6D883E71" w:rsidR="0032295A" w:rsidRPr="00111A4D" w:rsidRDefault="0032295A" w:rsidP="00A920D1">
      <w:pPr>
        <w:shd w:val="clear" w:color="auto" w:fill="FFFFFF"/>
        <w:spacing w:after="24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11A4D">
        <w:rPr>
          <w:rFonts w:eastAsia="Times New Roman" w:cstheme="minorHAnsi"/>
          <w:color w:val="000000" w:themeColor="text1"/>
          <w:lang w:eastAsia="pl-PL"/>
        </w:rPr>
        <w:t>Spółka INFINITY S.A. będąca emitentem obligacji tworzy grupę kapitałową działającą pod marką PROFBUD. Firma</w:t>
      </w:r>
      <w:r w:rsidR="00557DA4">
        <w:rPr>
          <w:rFonts w:eastAsia="Times New Roman" w:cstheme="minorHAnsi"/>
          <w:color w:val="000000" w:themeColor="text1"/>
          <w:lang w:eastAsia="pl-PL"/>
        </w:rPr>
        <w:t xml:space="preserve"> od ponad 11 lat</w:t>
      </w:r>
      <w:r w:rsidRPr="00111A4D">
        <w:rPr>
          <w:rFonts w:eastAsia="Times New Roman" w:cstheme="minorHAnsi"/>
          <w:color w:val="000000" w:themeColor="text1"/>
          <w:lang w:eastAsia="pl-PL"/>
        </w:rPr>
        <w:t xml:space="preserve"> prowadzi działalność deweloperską,</w:t>
      </w:r>
      <w:r w:rsidR="000840A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57DA4">
        <w:rPr>
          <w:rFonts w:eastAsia="Times New Roman" w:cstheme="minorHAnsi"/>
          <w:color w:val="000000" w:themeColor="text1"/>
          <w:lang w:eastAsia="pl-PL"/>
        </w:rPr>
        <w:t>realizując wysokiej jakości projekty w atrakcyjnych lokalizacjach</w:t>
      </w:r>
      <w:r w:rsidR="00F95752">
        <w:rPr>
          <w:rFonts w:eastAsia="Times New Roman" w:cstheme="minorHAnsi"/>
          <w:color w:val="000000" w:themeColor="text1"/>
          <w:lang w:eastAsia="pl-PL"/>
        </w:rPr>
        <w:t>,</w:t>
      </w:r>
      <w:r w:rsidR="000840A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840AB" w:rsidRPr="00111A4D">
        <w:rPr>
          <w:rFonts w:eastAsia="Times New Roman" w:cstheme="minorHAnsi"/>
          <w:color w:val="000000" w:themeColor="text1"/>
          <w:lang w:eastAsia="pl-PL"/>
        </w:rPr>
        <w:t>głównie na terenie Warszawy oraz Łodzi</w:t>
      </w:r>
      <w:r w:rsidR="000840AB">
        <w:rPr>
          <w:rFonts w:eastAsia="Times New Roman" w:cstheme="minorHAnsi"/>
          <w:color w:val="000000" w:themeColor="text1"/>
          <w:lang w:eastAsia="pl-PL"/>
        </w:rPr>
        <w:t>.</w:t>
      </w:r>
    </w:p>
    <w:p w14:paraId="4BEB3FFD" w14:textId="7919162A" w:rsidR="000A6EE6" w:rsidRPr="001A544D" w:rsidRDefault="00383D92" w:rsidP="00A920D1">
      <w:pPr>
        <w:spacing w:line="276" w:lineRule="auto"/>
        <w:jc w:val="both"/>
        <w:rPr>
          <w:rFonts w:cstheme="minorHAnsi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Dnia 26 sierpnia br. w siedzibie Giełdy Papierów Wartościowych odbył się uroczysty debiut obligacji dewelopera na rynku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Catalyst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. </w:t>
      </w:r>
      <w:r w:rsidR="0032295A" w:rsidRPr="00111A4D">
        <w:rPr>
          <w:rFonts w:eastAsia="Times New Roman" w:cstheme="minorHAnsi"/>
          <w:color w:val="000000" w:themeColor="text1"/>
          <w:lang w:eastAsia="pl-PL"/>
        </w:rPr>
        <w:t xml:space="preserve">Spółka wyemitowała obligacje w publicznej emisji pozyskując </w:t>
      </w:r>
      <w:r w:rsidR="00C00676" w:rsidRPr="00111A4D">
        <w:rPr>
          <w:rFonts w:eastAsia="Times New Roman" w:cstheme="minorHAnsi"/>
          <w:color w:val="000000" w:themeColor="text1"/>
          <w:lang w:eastAsia="pl-PL"/>
        </w:rPr>
        <w:t>11 mln kapitału</w:t>
      </w:r>
      <w:r w:rsidR="00231064" w:rsidRPr="00111A4D">
        <w:rPr>
          <w:rFonts w:eastAsia="Times New Roman" w:cstheme="minorHAnsi"/>
          <w:color w:val="000000" w:themeColor="text1"/>
          <w:lang w:eastAsia="pl-PL"/>
        </w:rPr>
        <w:t xml:space="preserve">, które wprowadziła do giełdowego obrotu. </w:t>
      </w:r>
      <w:r w:rsidR="00896404">
        <w:rPr>
          <w:rFonts w:cstheme="minorHAnsi"/>
        </w:rPr>
        <w:t>Obligacje</w:t>
      </w:r>
      <w:r w:rsidR="00896404" w:rsidRPr="00111A4D">
        <w:rPr>
          <w:rFonts w:cstheme="minorHAnsi"/>
        </w:rPr>
        <w:t xml:space="preserve"> </w:t>
      </w:r>
      <w:r w:rsidR="00111A4D" w:rsidRPr="00111A4D">
        <w:rPr>
          <w:rFonts w:cstheme="minorHAnsi"/>
        </w:rPr>
        <w:t xml:space="preserve">są oprocentowane według stopy zmiennej </w:t>
      </w:r>
      <w:proofErr w:type="spellStart"/>
      <w:r w:rsidR="00111A4D" w:rsidRPr="00111A4D">
        <w:rPr>
          <w:rFonts w:cstheme="minorHAnsi"/>
        </w:rPr>
        <w:t>Wibor</w:t>
      </w:r>
      <w:proofErr w:type="spellEnd"/>
      <w:r w:rsidR="00111A4D" w:rsidRPr="00111A4D">
        <w:rPr>
          <w:rFonts w:cstheme="minorHAnsi"/>
        </w:rPr>
        <w:t xml:space="preserve"> </w:t>
      </w:r>
      <w:r w:rsidR="00111A4D">
        <w:rPr>
          <w:rFonts w:cstheme="minorHAnsi"/>
        </w:rPr>
        <w:t>3M, p</w:t>
      </w:r>
      <w:r w:rsidR="00111A4D" w:rsidRPr="00111A4D">
        <w:rPr>
          <w:rFonts w:cstheme="minorHAnsi"/>
        </w:rPr>
        <w:t>owiększone</w:t>
      </w:r>
      <w:r w:rsidR="00896404">
        <w:rPr>
          <w:rFonts w:cstheme="minorHAnsi"/>
        </w:rPr>
        <w:t>j</w:t>
      </w:r>
      <w:r w:rsidR="00111A4D" w:rsidRPr="00111A4D">
        <w:rPr>
          <w:rFonts w:cstheme="minorHAnsi"/>
        </w:rPr>
        <w:t xml:space="preserve"> o mar</w:t>
      </w:r>
      <w:r w:rsidR="00111A4D">
        <w:rPr>
          <w:rFonts w:cstheme="minorHAnsi"/>
        </w:rPr>
        <w:t>ż</w:t>
      </w:r>
      <w:r w:rsidR="00111A4D" w:rsidRPr="00111A4D">
        <w:rPr>
          <w:rFonts w:cstheme="minorHAnsi"/>
        </w:rPr>
        <w:t xml:space="preserve">ę w wysokości 4,65%. </w:t>
      </w:r>
      <w:r w:rsidR="00004F87" w:rsidRPr="00004F87">
        <w:rPr>
          <w:rFonts w:eastAsia="Times New Roman" w:cstheme="minorHAnsi"/>
          <w:color w:val="000000" w:themeColor="text1"/>
          <w:lang w:eastAsia="pl-PL"/>
        </w:rPr>
        <w:t>W wydarzeniu wzięli udział przedstawiciele GPW oraz Członkowie Zarządu</w:t>
      </w:r>
      <w:r w:rsidR="005D6687">
        <w:rPr>
          <w:rFonts w:eastAsia="Times New Roman" w:cstheme="minorHAnsi"/>
          <w:color w:val="000000" w:themeColor="text1"/>
          <w:lang w:eastAsia="pl-PL"/>
        </w:rPr>
        <w:t xml:space="preserve"> firmy PROFBUD</w:t>
      </w:r>
      <w:r w:rsidR="00004F87" w:rsidRPr="00004F87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004F87">
        <w:rPr>
          <w:rFonts w:eastAsia="Times New Roman" w:cstheme="minorHAnsi"/>
          <w:color w:val="000000" w:themeColor="text1"/>
          <w:lang w:eastAsia="pl-PL"/>
        </w:rPr>
        <w:t>w tym Prezes</w:t>
      </w:r>
      <w:r w:rsidR="005D6687">
        <w:rPr>
          <w:rFonts w:eastAsia="Times New Roman" w:cstheme="minorHAnsi"/>
          <w:color w:val="000000" w:themeColor="text1"/>
          <w:lang w:eastAsia="pl-PL"/>
        </w:rPr>
        <w:t xml:space="preserve"> Paweł Malinowski</w:t>
      </w:r>
      <w:r w:rsidR="00004F87">
        <w:rPr>
          <w:rFonts w:eastAsia="Times New Roman" w:cstheme="minorHAnsi"/>
          <w:color w:val="000000" w:themeColor="text1"/>
          <w:lang w:eastAsia="pl-PL"/>
        </w:rPr>
        <w:t xml:space="preserve">, który wygłosił przemówienie i </w:t>
      </w:r>
      <w:r w:rsidR="00004F87" w:rsidRPr="00004F87">
        <w:rPr>
          <w:rFonts w:eastAsia="Times New Roman" w:cstheme="minorHAnsi"/>
          <w:color w:val="000000" w:themeColor="text1"/>
          <w:lang w:eastAsia="pl-PL"/>
        </w:rPr>
        <w:t>przedstawi</w:t>
      </w:r>
      <w:r w:rsidR="00004F87">
        <w:rPr>
          <w:rFonts w:eastAsia="Times New Roman" w:cstheme="minorHAnsi"/>
          <w:color w:val="000000" w:themeColor="text1"/>
          <w:lang w:eastAsia="pl-PL"/>
        </w:rPr>
        <w:t>ł</w:t>
      </w:r>
      <w:r w:rsidR="00004F87" w:rsidRPr="00004F8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04F87">
        <w:rPr>
          <w:rFonts w:eastAsia="Times New Roman" w:cstheme="minorHAnsi"/>
          <w:color w:val="000000" w:themeColor="text1"/>
          <w:lang w:eastAsia="pl-PL"/>
        </w:rPr>
        <w:t xml:space="preserve">dalsze </w:t>
      </w:r>
      <w:r w:rsidR="00004F87" w:rsidRPr="00004F87">
        <w:rPr>
          <w:rFonts w:eastAsia="Times New Roman" w:cstheme="minorHAnsi"/>
          <w:color w:val="000000" w:themeColor="text1"/>
          <w:lang w:eastAsia="pl-PL"/>
        </w:rPr>
        <w:t xml:space="preserve">plany rozwoju </w:t>
      </w:r>
      <w:r w:rsidR="004C7E2A">
        <w:rPr>
          <w:rFonts w:eastAsia="Times New Roman" w:cstheme="minorHAnsi"/>
          <w:color w:val="000000" w:themeColor="text1"/>
          <w:lang w:eastAsia="pl-PL"/>
        </w:rPr>
        <w:t>przedsiębiorstwa</w:t>
      </w:r>
      <w:r w:rsidR="00004F87" w:rsidRPr="00111A4D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7B0292">
        <w:rPr>
          <w:rFonts w:cstheme="minorHAnsi"/>
          <w:i/>
          <w:iCs/>
        </w:rPr>
        <w:t>–</w:t>
      </w:r>
      <w:r w:rsidR="000A6EE6" w:rsidRPr="001A544D">
        <w:rPr>
          <w:rFonts w:cstheme="minorHAnsi"/>
          <w:i/>
          <w:iCs/>
        </w:rPr>
        <w:t xml:space="preserve"> </w:t>
      </w:r>
      <w:r w:rsidR="000A6EE6" w:rsidRPr="001A544D">
        <w:rPr>
          <w:i/>
          <w:iCs/>
        </w:rPr>
        <w:t xml:space="preserve">Przyszłość jest barwna i ambitna. Na dzień dzisiejszy naszym celem w ciągu najbliższych 4 lat jest realizacja planu sprzedażowego na poziomie 500 mieszkań rocznie. Jeszcze w tym roku planujemy rozpoczęcie sprzedaży </w:t>
      </w:r>
      <w:r w:rsidR="00140C6D">
        <w:rPr>
          <w:i/>
          <w:iCs/>
        </w:rPr>
        <w:t xml:space="preserve">kolejnych </w:t>
      </w:r>
      <w:r w:rsidR="00046704">
        <w:rPr>
          <w:i/>
          <w:iCs/>
        </w:rPr>
        <w:t>pięciu</w:t>
      </w:r>
      <w:r w:rsidR="000A6EE6" w:rsidRPr="001A544D">
        <w:rPr>
          <w:i/>
          <w:iCs/>
        </w:rPr>
        <w:t xml:space="preserve"> projektów, z czego </w:t>
      </w:r>
      <w:r w:rsidR="00046704">
        <w:rPr>
          <w:i/>
          <w:iCs/>
        </w:rPr>
        <w:t>cztery</w:t>
      </w:r>
      <w:r w:rsidR="000A6EE6" w:rsidRPr="001A544D">
        <w:rPr>
          <w:i/>
          <w:iCs/>
        </w:rPr>
        <w:t xml:space="preserve"> znajdują się w Warszawie</w:t>
      </w:r>
      <w:r w:rsidR="00465A95">
        <w:rPr>
          <w:i/>
          <w:iCs/>
        </w:rPr>
        <w:t>,</w:t>
      </w:r>
      <w:r w:rsidR="005264CD" w:rsidRPr="001A544D">
        <w:rPr>
          <w:i/>
          <w:iCs/>
        </w:rPr>
        <w:t xml:space="preserve"> a </w:t>
      </w:r>
      <w:r w:rsidR="00046704">
        <w:rPr>
          <w:i/>
          <w:iCs/>
        </w:rPr>
        <w:t>jedna</w:t>
      </w:r>
      <w:r w:rsidR="000A6EE6" w:rsidRPr="001A544D">
        <w:rPr>
          <w:i/>
          <w:iCs/>
        </w:rPr>
        <w:t xml:space="preserve"> w </w:t>
      </w:r>
      <w:r w:rsidR="001A544D" w:rsidRPr="001A544D">
        <w:rPr>
          <w:i/>
          <w:iCs/>
        </w:rPr>
        <w:t>Ł</w:t>
      </w:r>
      <w:r w:rsidR="000A6EE6" w:rsidRPr="001A544D">
        <w:rPr>
          <w:i/>
          <w:iCs/>
        </w:rPr>
        <w:t xml:space="preserve">odzi. Bank ziemi przy założeniu sprzedaży 500 mieszkań rocznie </w:t>
      </w:r>
      <w:r w:rsidR="00790B99" w:rsidRPr="001A544D">
        <w:rPr>
          <w:i/>
          <w:iCs/>
        </w:rPr>
        <w:t>mamy zapełniony</w:t>
      </w:r>
      <w:r w:rsidR="000A6EE6" w:rsidRPr="001A544D">
        <w:rPr>
          <w:i/>
          <w:iCs/>
        </w:rPr>
        <w:t xml:space="preserve"> na około 7 lat. Dziękuję wszystkim osobom, które były zaangażowane w przygotowanie obligacji</w:t>
      </w:r>
      <w:r w:rsidR="001E6EE8" w:rsidRPr="001A544D">
        <w:rPr>
          <w:i/>
          <w:iCs/>
        </w:rPr>
        <w:t xml:space="preserve"> oraz </w:t>
      </w:r>
      <w:r w:rsidR="000A6EE6" w:rsidRPr="001A544D">
        <w:rPr>
          <w:i/>
          <w:iCs/>
        </w:rPr>
        <w:t>wejście na rynek</w:t>
      </w:r>
      <w:r w:rsidR="001E6EE8" w:rsidRPr="001A544D">
        <w:rPr>
          <w:i/>
          <w:iCs/>
        </w:rPr>
        <w:t xml:space="preserve"> </w:t>
      </w:r>
      <w:proofErr w:type="spellStart"/>
      <w:r w:rsidR="001E6EE8" w:rsidRPr="001A544D">
        <w:rPr>
          <w:i/>
          <w:iCs/>
        </w:rPr>
        <w:t>Catalyst</w:t>
      </w:r>
      <w:proofErr w:type="spellEnd"/>
      <w:r w:rsidR="000A6EE6" w:rsidRPr="001A544D">
        <w:rPr>
          <w:i/>
          <w:iCs/>
        </w:rPr>
        <w:t>. Jest to kolejny kamień milowy w rozwoju naszej grupy</w:t>
      </w:r>
      <w:r w:rsidR="001A544D" w:rsidRPr="001A544D">
        <w:rPr>
          <w:i/>
          <w:iCs/>
        </w:rPr>
        <w:t xml:space="preserve"> i działalności firmy PROFBUD</w:t>
      </w:r>
      <w:r w:rsidR="000A6EE6" w:rsidRPr="001A544D">
        <w:rPr>
          <w:i/>
          <w:iCs/>
        </w:rPr>
        <w:t>.</w:t>
      </w:r>
      <w:r w:rsidR="000A6EE6" w:rsidRPr="001E6EE8">
        <w:t xml:space="preserve"> </w:t>
      </w:r>
      <w:r w:rsidR="0071360F">
        <w:rPr>
          <w:rFonts w:cstheme="minorHAnsi"/>
          <w:i/>
          <w:iCs/>
        </w:rPr>
        <w:t>Cytując</w:t>
      </w:r>
      <w:r w:rsidR="0071360F" w:rsidRPr="00785465">
        <w:rPr>
          <w:rFonts w:cstheme="minorHAnsi"/>
          <w:i/>
          <w:iCs/>
        </w:rPr>
        <w:t xml:space="preserve"> Kardynał</w:t>
      </w:r>
      <w:r w:rsidR="0071360F">
        <w:rPr>
          <w:rFonts w:cstheme="minorHAnsi"/>
          <w:i/>
          <w:iCs/>
        </w:rPr>
        <w:t xml:space="preserve">a </w:t>
      </w:r>
      <w:r w:rsidR="0071360F" w:rsidRPr="00785465">
        <w:rPr>
          <w:rFonts w:cstheme="minorHAnsi"/>
          <w:i/>
          <w:iCs/>
        </w:rPr>
        <w:t>Stefan</w:t>
      </w:r>
      <w:r w:rsidR="0071360F">
        <w:rPr>
          <w:rFonts w:cstheme="minorHAnsi"/>
          <w:i/>
          <w:iCs/>
        </w:rPr>
        <w:t>a</w:t>
      </w:r>
      <w:r w:rsidR="0071360F" w:rsidRPr="00785465">
        <w:rPr>
          <w:rFonts w:cstheme="minorHAnsi"/>
          <w:i/>
          <w:iCs/>
        </w:rPr>
        <w:t xml:space="preserve"> Wyszyńs</w:t>
      </w:r>
      <w:r w:rsidR="0071360F">
        <w:rPr>
          <w:rFonts w:cstheme="minorHAnsi"/>
          <w:i/>
          <w:iCs/>
        </w:rPr>
        <w:t xml:space="preserve">kiego </w:t>
      </w:r>
      <w:r w:rsidR="0071360F">
        <w:rPr>
          <w:rFonts w:cstheme="minorHAnsi"/>
        </w:rPr>
        <w:t>„T</w:t>
      </w:r>
      <w:r w:rsidR="0071360F" w:rsidRPr="00CF2E82">
        <w:rPr>
          <w:rFonts w:cstheme="minorHAnsi"/>
          <w:i/>
          <w:iCs/>
          <w:color w:val="000000" w:themeColor="text1"/>
          <w:bdr w:val="none" w:sz="0" w:space="0" w:color="auto" w:frame="1"/>
        </w:rPr>
        <w:t>ylko orły szybują nad graniami i nie lękają się przepaści, wichrów i burz. Musicie mieć w sobie coś z orłów! – serce orle i wzrok orli ku przyszłości. Pamiętajcie – orły to wolne ptaki, bo szybują wysoko</w:t>
      </w:r>
      <w:r w:rsidR="0071360F">
        <w:rPr>
          <w:rFonts w:cstheme="minorHAnsi"/>
          <w:i/>
          <w:iCs/>
          <w:color w:val="000000" w:themeColor="text1"/>
          <w:bdr w:val="none" w:sz="0" w:space="0" w:color="auto" w:frame="1"/>
        </w:rPr>
        <w:t>”</w:t>
      </w:r>
      <w:r w:rsidR="001A544D">
        <w:t>– mówi</w:t>
      </w:r>
      <w:r w:rsidR="0000793F">
        <w:t>ł</w:t>
      </w:r>
      <w:r w:rsidR="001A544D">
        <w:t xml:space="preserve"> Prezes Zarządu firmy PROFBUD.</w:t>
      </w:r>
    </w:p>
    <w:p w14:paraId="1EFFA887" w14:textId="766E6C00" w:rsidR="006E311B" w:rsidRDefault="00106002" w:rsidP="00A920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INFINITY S.A. jest 131. emitentem papierów dłużnych na rynku </w:t>
      </w:r>
      <w:proofErr w:type="spellStart"/>
      <w:r>
        <w:rPr>
          <w:rFonts w:cstheme="minorHAnsi"/>
        </w:rPr>
        <w:t>Catalyst</w:t>
      </w:r>
      <w:proofErr w:type="spellEnd"/>
      <w:r>
        <w:rPr>
          <w:rFonts w:cstheme="minorHAnsi"/>
        </w:rPr>
        <w:t xml:space="preserve"> oraz 13. debiutem na rynku w 2021 roku. </w:t>
      </w:r>
      <w:r w:rsidR="00A920D1">
        <w:rPr>
          <w:rFonts w:cstheme="minorHAnsi"/>
        </w:rPr>
        <w:t xml:space="preserve">Dla firm deweloperskich emisja obligacji korporacyjnych jest </w:t>
      </w:r>
      <w:r w:rsidR="00181706">
        <w:rPr>
          <w:rFonts w:cstheme="minorHAnsi"/>
        </w:rPr>
        <w:t xml:space="preserve">m.in. </w:t>
      </w:r>
      <w:r w:rsidR="00A920D1">
        <w:rPr>
          <w:rFonts w:cstheme="minorHAnsi"/>
        </w:rPr>
        <w:t>jednym ze sposobów na zdobycie środków pieniężnych do realiz</w:t>
      </w:r>
      <w:r w:rsidR="006E7F6D">
        <w:rPr>
          <w:rFonts w:cstheme="minorHAnsi"/>
        </w:rPr>
        <w:t>acji</w:t>
      </w:r>
      <w:r w:rsidR="00A920D1">
        <w:rPr>
          <w:rFonts w:cstheme="minorHAnsi"/>
        </w:rPr>
        <w:t xml:space="preserve"> kolejnych inwestycji. </w:t>
      </w:r>
      <w:r w:rsidR="002B2B58">
        <w:rPr>
          <w:rFonts w:cstheme="minorHAnsi"/>
        </w:rPr>
        <w:t>R</w:t>
      </w:r>
      <w:r w:rsidR="00A920D1">
        <w:rPr>
          <w:rFonts w:cstheme="minorHAnsi"/>
        </w:rPr>
        <w:t xml:space="preserve">ynek </w:t>
      </w:r>
      <w:r w:rsidR="007A45C7">
        <w:rPr>
          <w:rFonts w:cstheme="minorHAnsi"/>
        </w:rPr>
        <w:t>to</w:t>
      </w:r>
      <w:r w:rsidR="00A920D1">
        <w:rPr>
          <w:rFonts w:cstheme="minorHAnsi"/>
        </w:rPr>
        <w:t xml:space="preserve"> dla nich atrakcyjn</w:t>
      </w:r>
      <w:r w:rsidR="007A45C7">
        <w:rPr>
          <w:rFonts w:cstheme="minorHAnsi"/>
        </w:rPr>
        <w:t>a przestrzeń</w:t>
      </w:r>
      <w:r w:rsidR="00AE6EE2">
        <w:rPr>
          <w:rFonts w:cstheme="minorHAnsi"/>
        </w:rPr>
        <w:t xml:space="preserve">, </w:t>
      </w:r>
      <w:r w:rsidR="00A920D1">
        <w:rPr>
          <w:rFonts w:cstheme="minorHAnsi"/>
        </w:rPr>
        <w:t>ze względu na większą elastyczność oraz efektywność wykorzystywanych środków. Jak tłumaczą specjaliści kapitał pozyskiwany z emisji obligacji może zostać efektywnie wykorzystywany przez kilka lat, a w razie potrzeby transferowany pomiędzy realizowanymi projektami, co w przypadku tradycyjnego kredytu nie jest możliwe.  Emitując obligacj</w:t>
      </w:r>
      <w:r w:rsidR="009C425F">
        <w:rPr>
          <w:rFonts w:cstheme="minorHAnsi"/>
        </w:rPr>
        <w:t>e</w:t>
      </w:r>
      <w:r w:rsidR="00B21BA4">
        <w:rPr>
          <w:rFonts w:cstheme="minorHAnsi"/>
        </w:rPr>
        <w:t xml:space="preserve"> deweloper</w:t>
      </w:r>
      <w:r w:rsidR="009C425F">
        <w:rPr>
          <w:rFonts w:cstheme="minorHAnsi"/>
        </w:rPr>
        <w:t>zy</w:t>
      </w:r>
      <w:r w:rsidR="00B21BA4">
        <w:rPr>
          <w:rFonts w:cstheme="minorHAnsi"/>
        </w:rPr>
        <w:t xml:space="preserve"> o ugruntowanej pozycji rynkowej nie mus</w:t>
      </w:r>
      <w:r w:rsidR="009C425F">
        <w:rPr>
          <w:rFonts w:cstheme="minorHAnsi"/>
        </w:rPr>
        <w:t>zą także</w:t>
      </w:r>
      <w:r w:rsidR="00B21BA4">
        <w:rPr>
          <w:rFonts w:cstheme="minorHAnsi"/>
        </w:rPr>
        <w:t xml:space="preserve"> wskazywać celu emisji</w:t>
      </w:r>
      <w:r w:rsidR="009C425F">
        <w:rPr>
          <w:rFonts w:cstheme="minorHAnsi"/>
        </w:rPr>
        <w:t xml:space="preserve"> np. z przeznaczeniem </w:t>
      </w:r>
      <w:r w:rsidR="00B21BA4">
        <w:rPr>
          <w:rFonts w:cstheme="minorHAnsi"/>
        </w:rPr>
        <w:t xml:space="preserve">na powiększenie banku ziemi. </w:t>
      </w:r>
      <w:r w:rsidR="009C425F">
        <w:rPr>
          <w:rFonts w:cstheme="minorHAnsi"/>
        </w:rPr>
        <w:t>Najczęściej</w:t>
      </w:r>
      <w:r w:rsidR="00B21BA4">
        <w:rPr>
          <w:rFonts w:cstheme="minorHAnsi"/>
        </w:rPr>
        <w:t xml:space="preserve"> firmy łączą </w:t>
      </w:r>
      <w:r w:rsidR="009C425F">
        <w:rPr>
          <w:rFonts w:cstheme="minorHAnsi"/>
        </w:rPr>
        <w:t>więc oba sposoby finansowania</w:t>
      </w:r>
      <w:r w:rsidR="008C1DE6">
        <w:rPr>
          <w:rFonts w:cstheme="minorHAnsi"/>
        </w:rPr>
        <w:t xml:space="preserve"> – kredyty</w:t>
      </w:r>
      <w:r w:rsidR="00965BA6">
        <w:rPr>
          <w:rFonts w:cstheme="minorHAnsi"/>
        </w:rPr>
        <w:t xml:space="preserve"> przypi</w:t>
      </w:r>
      <w:r w:rsidR="008C1DE6">
        <w:rPr>
          <w:rFonts w:cstheme="minorHAnsi"/>
        </w:rPr>
        <w:t>sują</w:t>
      </w:r>
      <w:r w:rsidR="00965BA6">
        <w:rPr>
          <w:rFonts w:cstheme="minorHAnsi"/>
        </w:rPr>
        <w:t xml:space="preserve"> </w:t>
      </w:r>
      <w:r w:rsidR="007A45C7">
        <w:rPr>
          <w:rFonts w:cstheme="minorHAnsi"/>
        </w:rPr>
        <w:t>pod</w:t>
      </w:r>
      <w:r w:rsidR="00965BA6">
        <w:rPr>
          <w:rFonts w:cstheme="minorHAnsi"/>
        </w:rPr>
        <w:t xml:space="preserve"> konkretn</w:t>
      </w:r>
      <w:r w:rsidR="007A45C7">
        <w:rPr>
          <w:rFonts w:cstheme="minorHAnsi"/>
        </w:rPr>
        <w:t>e</w:t>
      </w:r>
      <w:r w:rsidR="00965BA6">
        <w:rPr>
          <w:rFonts w:cstheme="minorHAnsi"/>
        </w:rPr>
        <w:t xml:space="preserve"> projekt</w:t>
      </w:r>
      <w:r w:rsidR="007A45C7">
        <w:rPr>
          <w:rFonts w:cstheme="minorHAnsi"/>
        </w:rPr>
        <w:t>y</w:t>
      </w:r>
      <w:r w:rsidR="00965BA6">
        <w:rPr>
          <w:rFonts w:cstheme="minorHAnsi"/>
        </w:rPr>
        <w:t>, natomiast środki z emisji obligacji wykorzyst</w:t>
      </w:r>
      <w:r w:rsidR="008C1DE6">
        <w:rPr>
          <w:rFonts w:cstheme="minorHAnsi"/>
        </w:rPr>
        <w:t>ują</w:t>
      </w:r>
      <w:r w:rsidR="00965BA6">
        <w:rPr>
          <w:rFonts w:cstheme="minorHAnsi"/>
        </w:rPr>
        <w:t xml:space="preserve"> do uzupełniania braków</w:t>
      </w:r>
      <w:r w:rsidR="00965BA6">
        <w:rPr>
          <w:rStyle w:val="Odwoanieprzypisudolnego"/>
          <w:rFonts w:cstheme="minorHAnsi"/>
        </w:rPr>
        <w:footnoteReference w:id="1"/>
      </w:r>
      <w:r w:rsidR="00965BA6">
        <w:rPr>
          <w:rFonts w:cstheme="minorHAnsi"/>
        </w:rPr>
        <w:t xml:space="preserve">. </w:t>
      </w:r>
    </w:p>
    <w:p w14:paraId="195B9EEE" w14:textId="77777777" w:rsidR="00841ACB" w:rsidRDefault="00A532D4" w:rsidP="00A920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Dodatkowo, jak wskazuj</w:t>
      </w:r>
      <w:r w:rsidR="0039013E">
        <w:rPr>
          <w:rFonts w:cstheme="minorHAnsi"/>
        </w:rPr>
        <w:t>ą specjaliści</w:t>
      </w:r>
      <w:r>
        <w:rPr>
          <w:rFonts w:cstheme="minorHAnsi"/>
        </w:rPr>
        <w:t xml:space="preserve"> Dom</w:t>
      </w:r>
      <w:r w:rsidR="0039013E">
        <w:rPr>
          <w:rFonts w:cstheme="minorHAnsi"/>
        </w:rPr>
        <w:t>u</w:t>
      </w:r>
      <w:r>
        <w:rPr>
          <w:rFonts w:cstheme="minorHAnsi"/>
        </w:rPr>
        <w:t xml:space="preserve"> Maklerski</w:t>
      </w:r>
      <w:r w:rsidR="0039013E">
        <w:rPr>
          <w:rFonts w:cstheme="minorHAnsi"/>
        </w:rPr>
        <w:t>ego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Navigator</w:t>
      </w:r>
      <w:proofErr w:type="spellEnd"/>
      <w:r>
        <w:rPr>
          <w:rFonts w:cstheme="minorHAnsi"/>
        </w:rPr>
        <w:t xml:space="preserve"> w swoim raporcie, sytuacja </w:t>
      </w:r>
      <w:r w:rsidR="009F2D35">
        <w:rPr>
          <w:rFonts w:cstheme="minorHAnsi"/>
        </w:rPr>
        <w:t>czternastu</w:t>
      </w:r>
      <w:r w:rsidR="00F12AF9">
        <w:rPr>
          <w:rFonts w:cstheme="minorHAnsi"/>
        </w:rPr>
        <w:t xml:space="preserve"> </w:t>
      </w:r>
      <w:r>
        <w:rPr>
          <w:rFonts w:cstheme="minorHAnsi"/>
        </w:rPr>
        <w:t xml:space="preserve">deweloperów mieszkaniowych z </w:t>
      </w:r>
      <w:proofErr w:type="spellStart"/>
      <w:r>
        <w:rPr>
          <w:rFonts w:cstheme="minorHAnsi"/>
        </w:rPr>
        <w:t>Catalyst</w:t>
      </w:r>
      <w:proofErr w:type="spellEnd"/>
      <w:r>
        <w:rPr>
          <w:rFonts w:cstheme="minorHAnsi"/>
        </w:rPr>
        <w:t xml:space="preserve"> po II kw. 2021 roku wygląda bardzo dobrze. </w:t>
      </w:r>
      <w:r w:rsidR="00E04B29">
        <w:rPr>
          <w:rFonts w:cstheme="minorHAnsi"/>
        </w:rPr>
        <w:t>Firmy deweloperskie znajdujące się na omawianym</w:t>
      </w:r>
      <w:r w:rsidR="00CE238F">
        <w:rPr>
          <w:rFonts w:cstheme="minorHAnsi"/>
        </w:rPr>
        <w:t xml:space="preserve"> </w:t>
      </w:r>
      <w:r w:rsidR="00E04B29">
        <w:rPr>
          <w:rFonts w:cstheme="minorHAnsi"/>
        </w:rPr>
        <w:t xml:space="preserve">rynku znalazły nabywców na 6 310 lokali, co w porównaniu do I kw. 2021 roku </w:t>
      </w:r>
    </w:p>
    <w:p w14:paraId="1C449066" w14:textId="77777777" w:rsidR="00841ACB" w:rsidRDefault="00841ACB" w:rsidP="00A920D1">
      <w:pPr>
        <w:spacing w:line="276" w:lineRule="auto"/>
        <w:jc w:val="both"/>
        <w:rPr>
          <w:rFonts w:cstheme="minorHAnsi"/>
        </w:rPr>
      </w:pPr>
    </w:p>
    <w:p w14:paraId="5B65CF05" w14:textId="60A73D31" w:rsidR="005B7974" w:rsidRDefault="00E04B29" w:rsidP="00A920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daje wzrost na poziomie 2,3% i </w:t>
      </w:r>
      <w:r w:rsidR="008D13D9">
        <w:rPr>
          <w:rFonts w:cstheme="minorHAnsi"/>
        </w:rPr>
        <w:t xml:space="preserve">aż 119% </w:t>
      </w:r>
      <w:r w:rsidR="00D96550">
        <w:rPr>
          <w:rFonts w:cstheme="minorHAnsi"/>
        </w:rPr>
        <w:t xml:space="preserve">porównując ten sam kwartał </w:t>
      </w:r>
      <w:r w:rsidR="00505914">
        <w:rPr>
          <w:rFonts w:cstheme="minorHAnsi"/>
        </w:rPr>
        <w:t>rok do</w:t>
      </w:r>
      <w:r w:rsidR="00401B04">
        <w:rPr>
          <w:rFonts w:cstheme="minorHAnsi"/>
        </w:rPr>
        <w:t xml:space="preserve"> roku. </w:t>
      </w:r>
      <w:r w:rsidR="00CE238F">
        <w:rPr>
          <w:rFonts w:cstheme="minorHAnsi"/>
        </w:rPr>
        <w:t>Wysoka podaż wynika m.in. z rekordowo niskich st</w:t>
      </w:r>
      <w:r w:rsidR="0039013E">
        <w:rPr>
          <w:rFonts w:cstheme="minorHAnsi"/>
        </w:rPr>
        <w:t>óp</w:t>
      </w:r>
      <w:r w:rsidR="00CE238F">
        <w:rPr>
          <w:rFonts w:cstheme="minorHAnsi"/>
        </w:rPr>
        <w:t xml:space="preserve"> procentowych oraz perspektywy silnego odbicia gospodarczego w kolejnych kwartałach.</w:t>
      </w:r>
      <w:r w:rsidR="003A6868">
        <w:rPr>
          <w:rFonts w:cstheme="minorHAnsi"/>
        </w:rPr>
        <w:t xml:space="preserve"> Duży wpływ na zainteresowanie Klientów zakupem mieszkań mają także banki, luzujące politykę kredytową i udzielające znacznie więcej kredytów hipotecznych</w:t>
      </w:r>
      <w:r w:rsidR="00401B04">
        <w:rPr>
          <w:rStyle w:val="Odwoanieprzypisudolnego"/>
          <w:rFonts w:cstheme="minorHAnsi"/>
        </w:rPr>
        <w:footnoteReference w:id="2"/>
      </w:r>
      <w:r w:rsidR="00505914">
        <w:rPr>
          <w:rFonts w:cstheme="minorHAnsi"/>
        </w:rPr>
        <w:t>.</w:t>
      </w:r>
      <w:r w:rsidR="005B7974">
        <w:rPr>
          <w:rFonts w:cstheme="minorHAnsi"/>
        </w:rPr>
        <w:t xml:space="preserve">  </w:t>
      </w:r>
    </w:p>
    <w:p w14:paraId="219EF4C3" w14:textId="0D8D151E" w:rsidR="00A532D4" w:rsidRDefault="005B7974" w:rsidP="00A920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Oczywiście koniunktura rynkowa w połączeniu z oprocentowaniem </w:t>
      </w:r>
      <w:r w:rsidR="00514B17">
        <w:rPr>
          <w:rFonts w:cstheme="minorHAnsi"/>
        </w:rPr>
        <w:t xml:space="preserve">oferowanym przez emitenta wpływa na </w:t>
      </w:r>
      <w:r w:rsidR="00347273">
        <w:rPr>
          <w:rFonts w:cstheme="minorHAnsi"/>
        </w:rPr>
        <w:t>dużą</w:t>
      </w:r>
      <w:r w:rsidR="00514B17">
        <w:rPr>
          <w:rFonts w:cstheme="minorHAnsi"/>
        </w:rPr>
        <w:t xml:space="preserve"> ilość inwestorów chętnych na zakup obligacji deweloperów</w:t>
      </w:r>
      <w:r w:rsidR="00347273">
        <w:rPr>
          <w:rFonts w:cstheme="minorHAnsi"/>
        </w:rPr>
        <w:t xml:space="preserve">, traktowanych przez nich jako bezpieczne instrumenty inwestycyjne. Utrzymujący się trend sprzedażowy wpływa z kolei na deweloperów, którzy będą musieli zdecydować się na realizację nowych projektów inwestycyjnych. Co za tym idzie potrzebne będzie finansowanie i nowe emisje obligacji lub refinansowanie zapadających, do którego służy </w:t>
      </w:r>
      <w:r w:rsidR="0039013E">
        <w:rPr>
          <w:rFonts w:cstheme="minorHAnsi"/>
        </w:rPr>
        <w:t xml:space="preserve">właśnie </w:t>
      </w:r>
      <w:r w:rsidR="00347273">
        <w:rPr>
          <w:rFonts w:cstheme="minorHAnsi"/>
        </w:rPr>
        <w:t xml:space="preserve">rynek </w:t>
      </w:r>
      <w:proofErr w:type="spellStart"/>
      <w:r w:rsidR="00347273">
        <w:rPr>
          <w:rFonts w:cstheme="minorHAnsi"/>
        </w:rPr>
        <w:t>Catalyst</w:t>
      </w:r>
      <w:proofErr w:type="spellEnd"/>
      <w:r w:rsidR="00347273">
        <w:rPr>
          <w:rStyle w:val="Odwoanieprzypisudolnego"/>
          <w:rFonts w:cstheme="minorHAnsi"/>
        </w:rPr>
        <w:footnoteReference w:id="3"/>
      </w:r>
      <w:r w:rsidR="00347273">
        <w:rPr>
          <w:rFonts w:cstheme="minorHAnsi"/>
        </w:rPr>
        <w:t xml:space="preserve">. </w:t>
      </w:r>
    </w:p>
    <w:p w14:paraId="1450F101" w14:textId="003A67F8" w:rsidR="00347273" w:rsidRDefault="00347273" w:rsidP="00A920D1">
      <w:pPr>
        <w:spacing w:line="276" w:lineRule="auto"/>
        <w:jc w:val="both"/>
        <w:rPr>
          <w:rFonts w:cstheme="minorHAnsi"/>
        </w:rPr>
      </w:pPr>
    </w:p>
    <w:p w14:paraId="5BB335D6" w14:textId="77777777" w:rsidR="00347273" w:rsidRDefault="00347273" w:rsidP="00A920D1">
      <w:pPr>
        <w:spacing w:line="276" w:lineRule="auto"/>
        <w:jc w:val="both"/>
        <w:rPr>
          <w:rFonts w:cstheme="minorHAnsi"/>
        </w:rPr>
      </w:pPr>
    </w:p>
    <w:p w14:paraId="2940E9A3" w14:textId="77777777" w:rsidR="002A3BD4" w:rsidRDefault="002A3BD4" w:rsidP="002A3BD4">
      <w:pPr>
        <w:jc w:val="center"/>
      </w:pPr>
      <w:r>
        <w:t>***</w:t>
      </w:r>
    </w:p>
    <w:p w14:paraId="3A4FDBF2" w14:textId="76AB96E4" w:rsidR="002A3BD4" w:rsidRDefault="002A3BD4" w:rsidP="002A3B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PROFBUD – firma deweloperska, która stawia na najwyższą jakość realizowanych projektów mieszkaniowych. Oferuje swoim Klientom mieszkania „szyte na miarę”. W ciągu ponad 11 lat działalności spółka zrealizowała wysokiej jakości projekty w atrakcyjnych lokalizacjach. Wszystkie inwestycje </w:t>
      </w:r>
      <w:proofErr w:type="spellStart"/>
      <w:r>
        <w:rPr>
          <w:sz w:val="18"/>
          <w:szCs w:val="18"/>
        </w:rPr>
        <w:t>Profbud</w:t>
      </w:r>
      <w:proofErr w:type="spellEnd"/>
      <w:r>
        <w:rPr>
          <w:sz w:val="18"/>
          <w:szCs w:val="18"/>
        </w:rPr>
        <w:t xml:space="preserve"> charakteryzują się sprawdzonymi rozwiązaniami architektonicznymi, wysokiej klasy materiałami, nowoczesnymi technologiami oraz nieszablonowym designem. Do projektów realizowanych obecnie na terenie Warszawy należą Zakątek Cybisa na Ursynowie, Osiedle Złota Oksza i Osiedle Ligia etap II na Ursusie oraz Osiedle Stella etap IV na Bemowie.</w:t>
      </w:r>
      <w:r w:rsidR="00045D9C">
        <w:rPr>
          <w:sz w:val="18"/>
          <w:szCs w:val="18"/>
        </w:rPr>
        <w:t xml:space="preserve"> </w:t>
      </w:r>
      <w:r>
        <w:rPr>
          <w:sz w:val="18"/>
          <w:szCs w:val="18"/>
        </w:rPr>
        <w:t>Za flagow</w:t>
      </w:r>
      <w:r w:rsidR="00045D9C">
        <w:rPr>
          <w:sz w:val="18"/>
          <w:szCs w:val="18"/>
        </w:rPr>
        <w:t>e</w:t>
      </w:r>
      <w:r>
        <w:rPr>
          <w:sz w:val="18"/>
          <w:szCs w:val="18"/>
        </w:rPr>
        <w:t xml:space="preserve"> projekt</w:t>
      </w:r>
      <w:r w:rsidR="00045D9C">
        <w:rPr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 w:rsidR="00045D9C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045D9C">
        <w:rPr>
          <w:sz w:val="18"/>
          <w:szCs w:val="18"/>
        </w:rPr>
        <w:t>O</w:t>
      </w:r>
      <w:r>
        <w:rPr>
          <w:sz w:val="18"/>
          <w:szCs w:val="18"/>
        </w:rPr>
        <w:t>siedle Awangarda</w:t>
      </w:r>
      <w:r w:rsidR="00045D9C">
        <w:rPr>
          <w:sz w:val="18"/>
          <w:szCs w:val="18"/>
        </w:rPr>
        <w:t xml:space="preserve"> i </w:t>
      </w:r>
      <w:proofErr w:type="spellStart"/>
      <w:r w:rsidR="00045D9C">
        <w:rPr>
          <w:sz w:val="18"/>
          <w:szCs w:val="18"/>
        </w:rPr>
        <w:t>Yugo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Profbud</w:t>
      </w:r>
      <w:proofErr w:type="spellEnd"/>
      <w:r>
        <w:rPr>
          <w:sz w:val="18"/>
          <w:szCs w:val="18"/>
        </w:rPr>
        <w:t xml:space="preserve"> otrzymał certyfikat</w:t>
      </w:r>
      <w:r w:rsidR="00045D9C">
        <w:rPr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European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Quality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Certificate</w:t>
      </w:r>
      <w:proofErr w:type="spellEnd"/>
      <w:r>
        <w:rPr>
          <w:sz w:val="18"/>
          <w:szCs w:val="18"/>
        </w:rPr>
        <w:t>®. Firma jest członkiem Polskiego Związku Firm Deweloperskich.</w:t>
      </w:r>
    </w:p>
    <w:p w14:paraId="1A787284" w14:textId="77777777" w:rsidR="003A6868" w:rsidRDefault="003A6868" w:rsidP="00A920D1">
      <w:pPr>
        <w:spacing w:line="276" w:lineRule="auto"/>
        <w:jc w:val="both"/>
        <w:rPr>
          <w:rFonts w:cstheme="minorHAnsi"/>
        </w:rPr>
      </w:pPr>
    </w:p>
    <w:p w14:paraId="3427A100" w14:textId="77777777" w:rsidR="00401B04" w:rsidRDefault="00401B04" w:rsidP="00A920D1">
      <w:pPr>
        <w:spacing w:line="276" w:lineRule="auto"/>
        <w:jc w:val="both"/>
        <w:rPr>
          <w:rFonts w:cstheme="minorHAnsi"/>
        </w:rPr>
      </w:pPr>
    </w:p>
    <w:p w14:paraId="0F524F66" w14:textId="77777777" w:rsidR="00965BA6" w:rsidRPr="00111A4D" w:rsidRDefault="00965BA6" w:rsidP="00A920D1">
      <w:pPr>
        <w:spacing w:line="276" w:lineRule="auto"/>
        <w:jc w:val="both"/>
        <w:rPr>
          <w:rFonts w:cstheme="minorHAnsi"/>
        </w:rPr>
      </w:pPr>
    </w:p>
    <w:p w14:paraId="219B88CF" w14:textId="6E8FD8C4" w:rsidR="0032295A" w:rsidRPr="0032295A" w:rsidRDefault="0032295A" w:rsidP="007968C4">
      <w:pPr>
        <w:shd w:val="clear" w:color="auto" w:fill="FFFFFF"/>
        <w:spacing w:after="240" w:line="312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27991F4" w14:textId="2DF8A16B" w:rsidR="00693896" w:rsidRPr="00424698" w:rsidRDefault="00693896" w:rsidP="00424698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BCC5704" w14:textId="2B593F97" w:rsidR="00903BD4" w:rsidRPr="00693896" w:rsidRDefault="00903BD4" w:rsidP="00693896">
      <w:pPr>
        <w:spacing w:line="276" w:lineRule="auto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903BD4" w:rsidRPr="00693896" w:rsidSect="00A3771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66C0" w14:textId="77777777" w:rsidR="000E4EEF" w:rsidRDefault="000E4EEF" w:rsidP="007D66FC">
      <w:pPr>
        <w:spacing w:after="0" w:line="240" w:lineRule="auto"/>
      </w:pPr>
      <w:r>
        <w:separator/>
      </w:r>
    </w:p>
  </w:endnote>
  <w:endnote w:type="continuationSeparator" w:id="0">
    <w:p w14:paraId="615372F4" w14:textId="77777777" w:rsidR="000E4EEF" w:rsidRDefault="000E4EEF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A574" w14:textId="77777777" w:rsidR="000E4EEF" w:rsidRDefault="000E4EEF" w:rsidP="007D66FC">
      <w:pPr>
        <w:spacing w:after="0" w:line="240" w:lineRule="auto"/>
      </w:pPr>
      <w:r>
        <w:separator/>
      </w:r>
    </w:p>
  </w:footnote>
  <w:footnote w:type="continuationSeparator" w:id="0">
    <w:p w14:paraId="36851F38" w14:textId="77777777" w:rsidR="000E4EEF" w:rsidRDefault="000E4EEF" w:rsidP="007D66FC">
      <w:pPr>
        <w:spacing w:after="0" w:line="240" w:lineRule="auto"/>
      </w:pPr>
      <w:r>
        <w:continuationSeparator/>
      </w:r>
    </w:p>
  </w:footnote>
  <w:footnote w:id="1">
    <w:p w14:paraId="6A892749" w14:textId="659A9933" w:rsidR="00965BA6" w:rsidRDefault="00965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166D7">
          <w:rPr>
            <w:rStyle w:val="Hipercze"/>
          </w:rPr>
          <w:t>https://michaelstrom.pl/raporty-i-analizy/artykuly/140/Rynek-deweloperski-utrzymuje-wysokie-tempo</w:t>
        </w:r>
      </w:hyperlink>
      <w:r>
        <w:t xml:space="preserve"> </w:t>
      </w:r>
    </w:p>
  </w:footnote>
  <w:footnote w:id="2">
    <w:p w14:paraId="462CB43B" w14:textId="13ADA0DC" w:rsidR="00347273" w:rsidRDefault="00401B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="00347273" w:rsidRPr="00E166D7">
          <w:rPr>
            <w:rStyle w:val="Hipercze"/>
          </w:rPr>
          <w:t>https://navigatorcapital.pl/raport-sytuacja-deweloperow-mieszkaniowych-z-catalyst-po-2q-2021-r-2/</w:t>
        </w:r>
      </w:hyperlink>
    </w:p>
  </w:footnote>
  <w:footnote w:id="3">
    <w:p w14:paraId="2F080C03" w14:textId="62C18DCE" w:rsidR="00347273" w:rsidRDefault="003472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E166D7">
          <w:rPr>
            <w:rStyle w:val="Hipercze"/>
          </w:rPr>
          <w:t>https://michaelstrom.pl/raporty-i-analizy/artykuly/140/Rynek-deweloperski-utrzymuje-wysokie-tempo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1F1" w14:textId="43CE0A9B" w:rsidR="00177A00" w:rsidRDefault="00177A00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0509C44E">
          <wp:simplePos x="0" y="0"/>
          <wp:positionH relativeFrom="column">
            <wp:posOffset>-252095</wp:posOffset>
          </wp:positionH>
          <wp:positionV relativeFrom="paragraph">
            <wp:posOffset>-116205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A37714">
      <w:tab/>
      <w:t xml:space="preserve">        </w:t>
    </w:r>
    <w:r>
      <w:t xml:space="preserve"> Warszawa,</w:t>
    </w:r>
    <w:r w:rsidR="00A37714">
      <w:t xml:space="preserve"> </w:t>
    </w:r>
    <w:r w:rsidR="004C35F2">
      <w:t>10</w:t>
    </w:r>
    <w:r>
      <w:t>.</w:t>
    </w:r>
    <w:r w:rsidR="00EB3117">
      <w:t>0</w:t>
    </w:r>
    <w:r w:rsidR="00693896">
      <w:t>9</w:t>
    </w:r>
    <w:r>
      <w:t>.202</w:t>
    </w:r>
    <w:r w:rsidR="00EB3117">
      <w:t>1</w:t>
    </w:r>
    <w:r>
      <w:t xml:space="preserve"> r.</w:t>
    </w:r>
  </w:p>
  <w:p w14:paraId="06261229" w14:textId="562D1A0D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4740"/>
    <w:multiLevelType w:val="hybridMultilevel"/>
    <w:tmpl w:val="3B7A0908"/>
    <w:lvl w:ilvl="0" w:tplc="09A0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2B2"/>
    <w:multiLevelType w:val="hybridMultilevel"/>
    <w:tmpl w:val="ACC0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4F87"/>
    <w:rsid w:val="0000714D"/>
    <w:rsid w:val="0000793F"/>
    <w:rsid w:val="0001248E"/>
    <w:rsid w:val="00013699"/>
    <w:rsid w:val="00020129"/>
    <w:rsid w:val="00021B8D"/>
    <w:rsid w:val="000241EC"/>
    <w:rsid w:val="00030C96"/>
    <w:rsid w:val="00033B31"/>
    <w:rsid w:val="00037811"/>
    <w:rsid w:val="000434D8"/>
    <w:rsid w:val="00045D9C"/>
    <w:rsid w:val="00046704"/>
    <w:rsid w:val="00066032"/>
    <w:rsid w:val="00074D1D"/>
    <w:rsid w:val="00075059"/>
    <w:rsid w:val="000759AB"/>
    <w:rsid w:val="0008073A"/>
    <w:rsid w:val="0008115C"/>
    <w:rsid w:val="000840AB"/>
    <w:rsid w:val="00090FCA"/>
    <w:rsid w:val="000913AE"/>
    <w:rsid w:val="000920F0"/>
    <w:rsid w:val="00095873"/>
    <w:rsid w:val="0009675B"/>
    <w:rsid w:val="00096B67"/>
    <w:rsid w:val="000A0EFD"/>
    <w:rsid w:val="000A6EE6"/>
    <w:rsid w:val="000C219F"/>
    <w:rsid w:val="000C3DF5"/>
    <w:rsid w:val="000C3FED"/>
    <w:rsid w:val="000C5EDC"/>
    <w:rsid w:val="000C69B6"/>
    <w:rsid w:val="000C6AAC"/>
    <w:rsid w:val="000C7610"/>
    <w:rsid w:val="000D14C4"/>
    <w:rsid w:val="000D1656"/>
    <w:rsid w:val="000D2F90"/>
    <w:rsid w:val="000D5910"/>
    <w:rsid w:val="000D60C3"/>
    <w:rsid w:val="000D7395"/>
    <w:rsid w:val="000D7AE4"/>
    <w:rsid w:val="000E1443"/>
    <w:rsid w:val="000E3D49"/>
    <w:rsid w:val="000E4EEF"/>
    <w:rsid w:val="000F5EC4"/>
    <w:rsid w:val="000F61EA"/>
    <w:rsid w:val="000F6690"/>
    <w:rsid w:val="00101837"/>
    <w:rsid w:val="001028EA"/>
    <w:rsid w:val="00104330"/>
    <w:rsid w:val="00106002"/>
    <w:rsid w:val="0011178D"/>
    <w:rsid w:val="00111A4D"/>
    <w:rsid w:val="00112598"/>
    <w:rsid w:val="00114519"/>
    <w:rsid w:val="001148B4"/>
    <w:rsid w:val="00115EC3"/>
    <w:rsid w:val="00117A69"/>
    <w:rsid w:val="00121A68"/>
    <w:rsid w:val="00121FF8"/>
    <w:rsid w:val="001228A9"/>
    <w:rsid w:val="00130441"/>
    <w:rsid w:val="0013637C"/>
    <w:rsid w:val="00140C6D"/>
    <w:rsid w:val="00146E21"/>
    <w:rsid w:val="00152074"/>
    <w:rsid w:val="00154029"/>
    <w:rsid w:val="00166986"/>
    <w:rsid w:val="0016746D"/>
    <w:rsid w:val="00175014"/>
    <w:rsid w:val="00177A00"/>
    <w:rsid w:val="0018031F"/>
    <w:rsid w:val="00181706"/>
    <w:rsid w:val="00186879"/>
    <w:rsid w:val="001869C2"/>
    <w:rsid w:val="00186F8B"/>
    <w:rsid w:val="00187037"/>
    <w:rsid w:val="001A00C0"/>
    <w:rsid w:val="001A4718"/>
    <w:rsid w:val="001A544D"/>
    <w:rsid w:val="001B0AA0"/>
    <w:rsid w:val="001B61FD"/>
    <w:rsid w:val="001C1B77"/>
    <w:rsid w:val="001C4A4C"/>
    <w:rsid w:val="001D031E"/>
    <w:rsid w:val="001D441B"/>
    <w:rsid w:val="001D710A"/>
    <w:rsid w:val="001E0518"/>
    <w:rsid w:val="001E151B"/>
    <w:rsid w:val="001E48BC"/>
    <w:rsid w:val="001E491C"/>
    <w:rsid w:val="001E4D9B"/>
    <w:rsid w:val="001E6EE8"/>
    <w:rsid w:val="001F069D"/>
    <w:rsid w:val="001F0F45"/>
    <w:rsid w:val="001F1EAC"/>
    <w:rsid w:val="001F4163"/>
    <w:rsid w:val="001F4797"/>
    <w:rsid w:val="00202C12"/>
    <w:rsid w:val="00203DFA"/>
    <w:rsid w:val="00205940"/>
    <w:rsid w:val="002119B1"/>
    <w:rsid w:val="00212AF9"/>
    <w:rsid w:val="002164B0"/>
    <w:rsid w:val="00220274"/>
    <w:rsid w:val="00223611"/>
    <w:rsid w:val="002247D2"/>
    <w:rsid w:val="00230EE6"/>
    <w:rsid w:val="00231064"/>
    <w:rsid w:val="00241616"/>
    <w:rsid w:val="00241629"/>
    <w:rsid w:val="00242EA4"/>
    <w:rsid w:val="00246A5D"/>
    <w:rsid w:val="0024701A"/>
    <w:rsid w:val="00252405"/>
    <w:rsid w:val="00254945"/>
    <w:rsid w:val="0025776B"/>
    <w:rsid w:val="00263252"/>
    <w:rsid w:val="0026559A"/>
    <w:rsid w:val="002713B6"/>
    <w:rsid w:val="00277D83"/>
    <w:rsid w:val="00282871"/>
    <w:rsid w:val="0028433F"/>
    <w:rsid w:val="0029099F"/>
    <w:rsid w:val="00293D0C"/>
    <w:rsid w:val="002A3BD4"/>
    <w:rsid w:val="002A3E5E"/>
    <w:rsid w:val="002A5EC6"/>
    <w:rsid w:val="002A601D"/>
    <w:rsid w:val="002B00D0"/>
    <w:rsid w:val="002B1F96"/>
    <w:rsid w:val="002B2B58"/>
    <w:rsid w:val="002B2FCA"/>
    <w:rsid w:val="002B35CE"/>
    <w:rsid w:val="002B6455"/>
    <w:rsid w:val="002C0DAB"/>
    <w:rsid w:val="002C2DFD"/>
    <w:rsid w:val="002C3BC0"/>
    <w:rsid w:val="002C5E25"/>
    <w:rsid w:val="002C6F5A"/>
    <w:rsid w:val="002C7888"/>
    <w:rsid w:val="002D22BF"/>
    <w:rsid w:val="002D7B81"/>
    <w:rsid w:val="002F374A"/>
    <w:rsid w:val="002F55CC"/>
    <w:rsid w:val="002F6D58"/>
    <w:rsid w:val="00301EA4"/>
    <w:rsid w:val="003036F1"/>
    <w:rsid w:val="00304FB4"/>
    <w:rsid w:val="0030629E"/>
    <w:rsid w:val="00307AE8"/>
    <w:rsid w:val="003117C1"/>
    <w:rsid w:val="00316AAC"/>
    <w:rsid w:val="0032295A"/>
    <w:rsid w:val="00324F7D"/>
    <w:rsid w:val="003251E6"/>
    <w:rsid w:val="00325B39"/>
    <w:rsid w:val="00332F4A"/>
    <w:rsid w:val="00336711"/>
    <w:rsid w:val="0033700F"/>
    <w:rsid w:val="003403B8"/>
    <w:rsid w:val="0034187A"/>
    <w:rsid w:val="00346049"/>
    <w:rsid w:val="00347273"/>
    <w:rsid w:val="003668B5"/>
    <w:rsid w:val="00366F1B"/>
    <w:rsid w:val="00371B00"/>
    <w:rsid w:val="00374CA4"/>
    <w:rsid w:val="0038039B"/>
    <w:rsid w:val="003813FB"/>
    <w:rsid w:val="00383D92"/>
    <w:rsid w:val="003848C3"/>
    <w:rsid w:val="003849F3"/>
    <w:rsid w:val="0039013E"/>
    <w:rsid w:val="0039016D"/>
    <w:rsid w:val="00392B6B"/>
    <w:rsid w:val="00392EC2"/>
    <w:rsid w:val="003947A0"/>
    <w:rsid w:val="003947A4"/>
    <w:rsid w:val="00396228"/>
    <w:rsid w:val="003A13BE"/>
    <w:rsid w:val="003A34EC"/>
    <w:rsid w:val="003A4765"/>
    <w:rsid w:val="003A6868"/>
    <w:rsid w:val="003A6D6D"/>
    <w:rsid w:val="003B5E14"/>
    <w:rsid w:val="003C1825"/>
    <w:rsid w:val="003C1827"/>
    <w:rsid w:val="003C2567"/>
    <w:rsid w:val="003C3790"/>
    <w:rsid w:val="003C3F59"/>
    <w:rsid w:val="003C7937"/>
    <w:rsid w:val="003D37B2"/>
    <w:rsid w:val="003D7E41"/>
    <w:rsid w:val="003E02F9"/>
    <w:rsid w:val="003E0F52"/>
    <w:rsid w:val="003E3450"/>
    <w:rsid w:val="003E5F04"/>
    <w:rsid w:val="003F0A20"/>
    <w:rsid w:val="00401B04"/>
    <w:rsid w:val="00401F4E"/>
    <w:rsid w:val="0040263B"/>
    <w:rsid w:val="00402921"/>
    <w:rsid w:val="0040557F"/>
    <w:rsid w:val="004125E0"/>
    <w:rsid w:val="00424698"/>
    <w:rsid w:val="00426D98"/>
    <w:rsid w:val="00431250"/>
    <w:rsid w:val="0043276C"/>
    <w:rsid w:val="00432B66"/>
    <w:rsid w:val="004410F8"/>
    <w:rsid w:val="0044694D"/>
    <w:rsid w:val="0044711F"/>
    <w:rsid w:val="004524C5"/>
    <w:rsid w:val="00453CA5"/>
    <w:rsid w:val="00462768"/>
    <w:rsid w:val="00463F1A"/>
    <w:rsid w:val="00465A95"/>
    <w:rsid w:val="004664EA"/>
    <w:rsid w:val="00467423"/>
    <w:rsid w:val="00470B7B"/>
    <w:rsid w:val="00472528"/>
    <w:rsid w:val="004728D6"/>
    <w:rsid w:val="00472D30"/>
    <w:rsid w:val="004808AA"/>
    <w:rsid w:val="00483552"/>
    <w:rsid w:val="00486AA3"/>
    <w:rsid w:val="00492C99"/>
    <w:rsid w:val="004933AA"/>
    <w:rsid w:val="004977B7"/>
    <w:rsid w:val="004A2D9E"/>
    <w:rsid w:val="004B1FE2"/>
    <w:rsid w:val="004B73E9"/>
    <w:rsid w:val="004C1F48"/>
    <w:rsid w:val="004C35F2"/>
    <w:rsid w:val="004C7C19"/>
    <w:rsid w:val="004C7E2A"/>
    <w:rsid w:val="004D0A0A"/>
    <w:rsid w:val="004D1B35"/>
    <w:rsid w:val="004E0139"/>
    <w:rsid w:val="004E406A"/>
    <w:rsid w:val="004E4A7B"/>
    <w:rsid w:val="004E5D68"/>
    <w:rsid w:val="004E747B"/>
    <w:rsid w:val="004F2AEC"/>
    <w:rsid w:val="004F35CA"/>
    <w:rsid w:val="004F6C6D"/>
    <w:rsid w:val="00500DAC"/>
    <w:rsid w:val="005054CA"/>
    <w:rsid w:val="00505914"/>
    <w:rsid w:val="00514B17"/>
    <w:rsid w:val="00514E08"/>
    <w:rsid w:val="00524581"/>
    <w:rsid w:val="00524678"/>
    <w:rsid w:val="0052528E"/>
    <w:rsid w:val="005264CD"/>
    <w:rsid w:val="00530FC1"/>
    <w:rsid w:val="00531518"/>
    <w:rsid w:val="00531AA0"/>
    <w:rsid w:val="005366BC"/>
    <w:rsid w:val="00536E75"/>
    <w:rsid w:val="00541609"/>
    <w:rsid w:val="005432D6"/>
    <w:rsid w:val="00550D6F"/>
    <w:rsid w:val="00552325"/>
    <w:rsid w:val="005561EB"/>
    <w:rsid w:val="00557DA4"/>
    <w:rsid w:val="005621B0"/>
    <w:rsid w:val="005725EF"/>
    <w:rsid w:val="00572D46"/>
    <w:rsid w:val="0057631D"/>
    <w:rsid w:val="005830A4"/>
    <w:rsid w:val="005949D9"/>
    <w:rsid w:val="00595264"/>
    <w:rsid w:val="0059726A"/>
    <w:rsid w:val="005A14B8"/>
    <w:rsid w:val="005A60B9"/>
    <w:rsid w:val="005A7A3D"/>
    <w:rsid w:val="005B0AE3"/>
    <w:rsid w:val="005B3C22"/>
    <w:rsid w:val="005B3F6C"/>
    <w:rsid w:val="005B6737"/>
    <w:rsid w:val="005B7974"/>
    <w:rsid w:val="005C0FCD"/>
    <w:rsid w:val="005C1AD4"/>
    <w:rsid w:val="005C20D0"/>
    <w:rsid w:val="005C3FE2"/>
    <w:rsid w:val="005D0A58"/>
    <w:rsid w:val="005D241A"/>
    <w:rsid w:val="005D6687"/>
    <w:rsid w:val="005E0087"/>
    <w:rsid w:val="005E222F"/>
    <w:rsid w:val="005E4299"/>
    <w:rsid w:val="005E6D9C"/>
    <w:rsid w:val="005F2C23"/>
    <w:rsid w:val="005F68A3"/>
    <w:rsid w:val="005F7B52"/>
    <w:rsid w:val="00600402"/>
    <w:rsid w:val="00602C46"/>
    <w:rsid w:val="006043ED"/>
    <w:rsid w:val="00610259"/>
    <w:rsid w:val="006130BC"/>
    <w:rsid w:val="00614E81"/>
    <w:rsid w:val="00615260"/>
    <w:rsid w:val="006159C5"/>
    <w:rsid w:val="0062151A"/>
    <w:rsid w:val="00625103"/>
    <w:rsid w:val="00625B71"/>
    <w:rsid w:val="00626EF8"/>
    <w:rsid w:val="0062702E"/>
    <w:rsid w:val="0063583E"/>
    <w:rsid w:val="006366AC"/>
    <w:rsid w:val="0064202A"/>
    <w:rsid w:val="00643267"/>
    <w:rsid w:val="00643EB3"/>
    <w:rsid w:val="00647468"/>
    <w:rsid w:val="00647B33"/>
    <w:rsid w:val="00650DAF"/>
    <w:rsid w:val="006607F9"/>
    <w:rsid w:val="006608D7"/>
    <w:rsid w:val="0066186A"/>
    <w:rsid w:val="0066555F"/>
    <w:rsid w:val="00666F06"/>
    <w:rsid w:val="00671762"/>
    <w:rsid w:val="0067290D"/>
    <w:rsid w:val="00675340"/>
    <w:rsid w:val="00680321"/>
    <w:rsid w:val="0068114E"/>
    <w:rsid w:val="006821A6"/>
    <w:rsid w:val="006877D5"/>
    <w:rsid w:val="00692B7F"/>
    <w:rsid w:val="00693896"/>
    <w:rsid w:val="00693D7A"/>
    <w:rsid w:val="0069435D"/>
    <w:rsid w:val="0069609D"/>
    <w:rsid w:val="006A00DB"/>
    <w:rsid w:val="006A0A5D"/>
    <w:rsid w:val="006A1441"/>
    <w:rsid w:val="006A2B23"/>
    <w:rsid w:val="006A43D3"/>
    <w:rsid w:val="006A682B"/>
    <w:rsid w:val="006C210E"/>
    <w:rsid w:val="006C534D"/>
    <w:rsid w:val="006C58BB"/>
    <w:rsid w:val="006C5EDB"/>
    <w:rsid w:val="006C6F9F"/>
    <w:rsid w:val="006C7DCF"/>
    <w:rsid w:val="006D2194"/>
    <w:rsid w:val="006D234E"/>
    <w:rsid w:val="006D73C3"/>
    <w:rsid w:val="006D7AF3"/>
    <w:rsid w:val="006E0C31"/>
    <w:rsid w:val="006E311B"/>
    <w:rsid w:val="006E6074"/>
    <w:rsid w:val="006E6BBB"/>
    <w:rsid w:val="006E7F6D"/>
    <w:rsid w:val="006F02EC"/>
    <w:rsid w:val="006F5F93"/>
    <w:rsid w:val="006F65AC"/>
    <w:rsid w:val="00702E0D"/>
    <w:rsid w:val="00703C53"/>
    <w:rsid w:val="0070445F"/>
    <w:rsid w:val="00706300"/>
    <w:rsid w:val="00710F15"/>
    <w:rsid w:val="00711D91"/>
    <w:rsid w:val="007135F7"/>
    <w:rsid w:val="0071360F"/>
    <w:rsid w:val="007250C0"/>
    <w:rsid w:val="007274D8"/>
    <w:rsid w:val="00733589"/>
    <w:rsid w:val="007351F5"/>
    <w:rsid w:val="00737C65"/>
    <w:rsid w:val="007417C6"/>
    <w:rsid w:val="0074329D"/>
    <w:rsid w:val="0074347A"/>
    <w:rsid w:val="00744332"/>
    <w:rsid w:val="00755A0C"/>
    <w:rsid w:val="00761C81"/>
    <w:rsid w:val="00761CEA"/>
    <w:rsid w:val="007673F2"/>
    <w:rsid w:val="00774E70"/>
    <w:rsid w:val="007876BB"/>
    <w:rsid w:val="00790B99"/>
    <w:rsid w:val="0079295E"/>
    <w:rsid w:val="007929E9"/>
    <w:rsid w:val="007968C4"/>
    <w:rsid w:val="007A2EA7"/>
    <w:rsid w:val="007A45C7"/>
    <w:rsid w:val="007B0292"/>
    <w:rsid w:val="007B644B"/>
    <w:rsid w:val="007C57A8"/>
    <w:rsid w:val="007D66FC"/>
    <w:rsid w:val="007D6774"/>
    <w:rsid w:val="007D6CB3"/>
    <w:rsid w:val="007E3367"/>
    <w:rsid w:val="007E503B"/>
    <w:rsid w:val="007E50D6"/>
    <w:rsid w:val="007E5BD7"/>
    <w:rsid w:val="007E6F2A"/>
    <w:rsid w:val="007E6FF0"/>
    <w:rsid w:val="007F16B2"/>
    <w:rsid w:val="007F2B2F"/>
    <w:rsid w:val="007F5EDA"/>
    <w:rsid w:val="00802013"/>
    <w:rsid w:val="00802E33"/>
    <w:rsid w:val="00803256"/>
    <w:rsid w:val="00805793"/>
    <w:rsid w:val="008117DB"/>
    <w:rsid w:val="00811E50"/>
    <w:rsid w:val="00811EA8"/>
    <w:rsid w:val="00813590"/>
    <w:rsid w:val="008146EB"/>
    <w:rsid w:val="00815970"/>
    <w:rsid w:val="0081782B"/>
    <w:rsid w:val="008235F3"/>
    <w:rsid w:val="00825D97"/>
    <w:rsid w:val="00841ACB"/>
    <w:rsid w:val="00850F8C"/>
    <w:rsid w:val="00853FAA"/>
    <w:rsid w:val="008575C3"/>
    <w:rsid w:val="00866877"/>
    <w:rsid w:val="008679D4"/>
    <w:rsid w:val="008723A6"/>
    <w:rsid w:val="00873256"/>
    <w:rsid w:val="00876951"/>
    <w:rsid w:val="0088136D"/>
    <w:rsid w:val="00881665"/>
    <w:rsid w:val="00890902"/>
    <w:rsid w:val="008930C9"/>
    <w:rsid w:val="00896404"/>
    <w:rsid w:val="008968AE"/>
    <w:rsid w:val="00897142"/>
    <w:rsid w:val="008A0603"/>
    <w:rsid w:val="008A0DE0"/>
    <w:rsid w:val="008A0ED5"/>
    <w:rsid w:val="008B3823"/>
    <w:rsid w:val="008B5AB4"/>
    <w:rsid w:val="008B63DF"/>
    <w:rsid w:val="008B78AA"/>
    <w:rsid w:val="008C1DE6"/>
    <w:rsid w:val="008C31C0"/>
    <w:rsid w:val="008C49BC"/>
    <w:rsid w:val="008C4DBC"/>
    <w:rsid w:val="008C513A"/>
    <w:rsid w:val="008C5471"/>
    <w:rsid w:val="008D13D9"/>
    <w:rsid w:val="008E4036"/>
    <w:rsid w:val="008E4C94"/>
    <w:rsid w:val="008F17A1"/>
    <w:rsid w:val="008F5488"/>
    <w:rsid w:val="008F7DA6"/>
    <w:rsid w:val="00900334"/>
    <w:rsid w:val="00900828"/>
    <w:rsid w:val="00903879"/>
    <w:rsid w:val="00903BD4"/>
    <w:rsid w:val="009040FB"/>
    <w:rsid w:val="00904E7E"/>
    <w:rsid w:val="00906E52"/>
    <w:rsid w:val="009121A5"/>
    <w:rsid w:val="00916FF9"/>
    <w:rsid w:val="00917949"/>
    <w:rsid w:val="00921487"/>
    <w:rsid w:val="0092534A"/>
    <w:rsid w:val="0092682F"/>
    <w:rsid w:val="00926A82"/>
    <w:rsid w:val="00935E4A"/>
    <w:rsid w:val="00937FAB"/>
    <w:rsid w:val="00943981"/>
    <w:rsid w:val="00946B3F"/>
    <w:rsid w:val="00951E3C"/>
    <w:rsid w:val="00952AC6"/>
    <w:rsid w:val="00961FC5"/>
    <w:rsid w:val="00964AFE"/>
    <w:rsid w:val="0096542A"/>
    <w:rsid w:val="00965BA6"/>
    <w:rsid w:val="00967EA6"/>
    <w:rsid w:val="00970EF1"/>
    <w:rsid w:val="00980E84"/>
    <w:rsid w:val="0098691F"/>
    <w:rsid w:val="00987748"/>
    <w:rsid w:val="009945AA"/>
    <w:rsid w:val="00997454"/>
    <w:rsid w:val="00997BA8"/>
    <w:rsid w:val="009B1E27"/>
    <w:rsid w:val="009B32E7"/>
    <w:rsid w:val="009B37DB"/>
    <w:rsid w:val="009B45A6"/>
    <w:rsid w:val="009B45AD"/>
    <w:rsid w:val="009C31D3"/>
    <w:rsid w:val="009C425F"/>
    <w:rsid w:val="009C5D33"/>
    <w:rsid w:val="009D5FB8"/>
    <w:rsid w:val="009E36F1"/>
    <w:rsid w:val="009F21E6"/>
    <w:rsid w:val="009F2979"/>
    <w:rsid w:val="009F2D35"/>
    <w:rsid w:val="009F74F8"/>
    <w:rsid w:val="009F7C82"/>
    <w:rsid w:val="00A0023A"/>
    <w:rsid w:val="00A00AE6"/>
    <w:rsid w:val="00A015BF"/>
    <w:rsid w:val="00A0363F"/>
    <w:rsid w:val="00A048A1"/>
    <w:rsid w:val="00A04B3F"/>
    <w:rsid w:val="00A146B6"/>
    <w:rsid w:val="00A158B5"/>
    <w:rsid w:val="00A16818"/>
    <w:rsid w:val="00A17178"/>
    <w:rsid w:val="00A200B7"/>
    <w:rsid w:val="00A21B9C"/>
    <w:rsid w:val="00A31E87"/>
    <w:rsid w:val="00A32A6D"/>
    <w:rsid w:val="00A3351B"/>
    <w:rsid w:val="00A37714"/>
    <w:rsid w:val="00A40310"/>
    <w:rsid w:val="00A41321"/>
    <w:rsid w:val="00A4279A"/>
    <w:rsid w:val="00A43A4E"/>
    <w:rsid w:val="00A45DD8"/>
    <w:rsid w:val="00A46821"/>
    <w:rsid w:val="00A51896"/>
    <w:rsid w:val="00A532D4"/>
    <w:rsid w:val="00A5511F"/>
    <w:rsid w:val="00A57ACF"/>
    <w:rsid w:val="00A632C0"/>
    <w:rsid w:val="00A633E4"/>
    <w:rsid w:val="00A664F8"/>
    <w:rsid w:val="00A71BA8"/>
    <w:rsid w:val="00A81252"/>
    <w:rsid w:val="00A920D1"/>
    <w:rsid w:val="00A9222E"/>
    <w:rsid w:val="00AB3453"/>
    <w:rsid w:val="00AC1CD7"/>
    <w:rsid w:val="00AC44D9"/>
    <w:rsid w:val="00AD6206"/>
    <w:rsid w:val="00AE0734"/>
    <w:rsid w:val="00AE18F5"/>
    <w:rsid w:val="00AE2550"/>
    <w:rsid w:val="00AE3BC7"/>
    <w:rsid w:val="00AE5FD1"/>
    <w:rsid w:val="00AE6585"/>
    <w:rsid w:val="00AE6A51"/>
    <w:rsid w:val="00AE6EE2"/>
    <w:rsid w:val="00AF3D59"/>
    <w:rsid w:val="00B01753"/>
    <w:rsid w:val="00B0261A"/>
    <w:rsid w:val="00B03545"/>
    <w:rsid w:val="00B04FAB"/>
    <w:rsid w:val="00B04FCC"/>
    <w:rsid w:val="00B108FF"/>
    <w:rsid w:val="00B12D2B"/>
    <w:rsid w:val="00B17579"/>
    <w:rsid w:val="00B21BA4"/>
    <w:rsid w:val="00B26643"/>
    <w:rsid w:val="00B27905"/>
    <w:rsid w:val="00B27B53"/>
    <w:rsid w:val="00B30653"/>
    <w:rsid w:val="00B32BA9"/>
    <w:rsid w:val="00B408A5"/>
    <w:rsid w:val="00B43458"/>
    <w:rsid w:val="00B51B29"/>
    <w:rsid w:val="00B53E98"/>
    <w:rsid w:val="00B54661"/>
    <w:rsid w:val="00B57D3C"/>
    <w:rsid w:val="00B61F2B"/>
    <w:rsid w:val="00B65491"/>
    <w:rsid w:val="00B65780"/>
    <w:rsid w:val="00B66410"/>
    <w:rsid w:val="00B66FEC"/>
    <w:rsid w:val="00B7116C"/>
    <w:rsid w:val="00B76C69"/>
    <w:rsid w:val="00B8364A"/>
    <w:rsid w:val="00B8681B"/>
    <w:rsid w:val="00B9061B"/>
    <w:rsid w:val="00B90D35"/>
    <w:rsid w:val="00B9615C"/>
    <w:rsid w:val="00BA4B2C"/>
    <w:rsid w:val="00BA6BC7"/>
    <w:rsid w:val="00BB11BB"/>
    <w:rsid w:val="00BB24F5"/>
    <w:rsid w:val="00BC061C"/>
    <w:rsid w:val="00BC641A"/>
    <w:rsid w:val="00BD2CE8"/>
    <w:rsid w:val="00BD5EBF"/>
    <w:rsid w:val="00BD726F"/>
    <w:rsid w:val="00BE0EAF"/>
    <w:rsid w:val="00BE1EAD"/>
    <w:rsid w:val="00BE5EB2"/>
    <w:rsid w:val="00BE7FFB"/>
    <w:rsid w:val="00C00676"/>
    <w:rsid w:val="00C04995"/>
    <w:rsid w:val="00C17BA0"/>
    <w:rsid w:val="00C21277"/>
    <w:rsid w:val="00C243D0"/>
    <w:rsid w:val="00C25305"/>
    <w:rsid w:val="00C3162C"/>
    <w:rsid w:val="00C316F1"/>
    <w:rsid w:val="00C364DA"/>
    <w:rsid w:val="00C365B3"/>
    <w:rsid w:val="00C366C2"/>
    <w:rsid w:val="00C44AB1"/>
    <w:rsid w:val="00C459A1"/>
    <w:rsid w:val="00C52353"/>
    <w:rsid w:val="00C66235"/>
    <w:rsid w:val="00C70859"/>
    <w:rsid w:val="00C75C2F"/>
    <w:rsid w:val="00C75E1E"/>
    <w:rsid w:val="00C7662C"/>
    <w:rsid w:val="00C77DEF"/>
    <w:rsid w:val="00C8004B"/>
    <w:rsid w:val="00C80E41"/>
    <w:rsid w:val="00C83CB2"/>
    <w:rsid w:val="00C86B74"/>
    <w:rsid w:val="00C91A51"/>
    <w:rsid w:val="00C93233"/>
    <w:rsid w:val="00C93C43"/>
    <w:rsid w:val="00C96B6E"/>
    <w:rsid w:val="00CA71C1"/>
    <w:rsid w:val="00CA7220"/>
    <w:rsid w:val="00CC66D3"/>
    <w:rsid w:val="00CD2069"/>
    <w:rsid w:val="00CD548D"/>
    <w:rsid w:val="00CD66B4"/>
    <w:rsid w:val="00CD693D"/>
    <w:rsid w:val="00CE238F"/>
    <w:rsid w:val="00CF35F0"/>
    <w:rsid w:val="00CF71F9"/>
    <w:rsid w:val="00D0231C"/>
    <w:rsid w:val="00D063B2"/>
    <w:rsid w:val="00D14DEA"/>
    <w:rsid w:val="00D20838"/>
    <w:rsid w:val="00D20F5F"/>
    <w:rsid w:val="00D23404"/>
    <w:rsid w:val="00D30E90"/>
    <w:rsid w:val="00D331D3"/>
    <w:rsid w:val="00D3651E"/>
    <w:rsid w:val="00D44461"/>
    <w:rsid w:val="00D46B81"/>
    <w:rsid w:val="00D471F1"/>
    <w:rsid w:val="00D57BB7"/>
    <w:rsid w:val="00D72F9C"/>
    <w:rsid w:val="00D73F2E"/>
    <w:rsid w:val="00D856F8"/>
    <w:rsid w:val="00D877F1"/>
    <w:rsid w:val="00D921A2"/>
    <w:rsid w:val="00D96550"/>
    <w:rsid w:val="00D96809"/>
    <w:rsid w:val="00DA007F"/>
    <w:rsid w:val="00DA632E"/>
    <w:rsid w:val="00DA6AE7"/>
    <w:rsid w:val="00DB0DF5"/>
    <w:rsid w:val="00DB537D"/>
    <w:rsid w:val="00DC4FDE"/>
    <w:rsid w:val="00DD3073"/>
    <w:rsid w:val="00DD5A68"/>
    <w:rsid w:val="00DE5B69"/>
    <w:rsid w:val="00DF0B9C"/>
    <w:rsid w:val="00DF213F"/>
    <w:rsid w:val="00DF3A24"/>
    <w:rsid w:val="00DF47B6"/>
    <w:rsid w:val="00DF554C"/>
    <w:rsid w:val="00DF6C9F"/>
    <w:rsid w:val="00DF7616"/>
    <w:rsid w:val="00E04B29"/>
    <w:rsid w:val="00E11B8A"/>
    <w:rsid w:val="00E16639"/>
    <w:rsid w:val="00E17307"/>
    <w:rsid w:val="00E21958"/>
    <w:rsid w:val="00E254A5"/>
    <w:rsid w:val="00E26EE7"/>
    <w:rsid w:val="00E27FE4"/>
    <w:rsid w:val="00E3166E"/>
    <w:rsid w:val="00E3173F"/>
    <w:rsid w:val="00E31FAC"/>
    <w:rsid w:val="00E43514"/>
    <w:rsid w:val="00E448BC"/>
    <w:rsid w:val="00E44A6A"/>
    <w:rsid w:val="00E518E1"/>
    <w:rsid w:val="00E530C1"/>
    <w:rsid w:val="00E56EDD"/>
    <w:rsid w:val="00E62C1F"/>
    <w:rsid w:val="00E71705"/>
    <w:rsid w:val="00E73D15"/>
    <w:rsid w:val="00E77D9A"/>
    <w:rsid w:val="00E800CE"/>
    <w:rsid w:val="00E94F1F"/>
    <w:rsid w:val="00E978E5"/>
    <w:rsid w:val="00E97CC4"/>
    <w:rsid w:val="00EA0263"/>
    <w:rsid w:val="00EB179F"/>
    <w:rsid w:val="00EB2E08"/>
    <w:rsid w:val="00EB3117"/>
    <w:rsid w:val="00EB321F"/>
    <w:rsid w:val="00EB417E"/>
    <w:rsid w:val="00EB5454"/>
    <w:rsid w:val="00EB678C"/>
    <w:rsid w:val="00EB7933"/>
    <w:rsid w:val="00EC3BC2"/>
    <w:rsid w:val="00EC7EFC"/>
    <w:rsid w:val="00ED3441"/>
    <w:rsid w:val="00EE090B"/>
    <w:rsid w:val="00EE3661"/>
    <w:rsid w:val="00EE3C73"/>
    <w:rsid w:val="00EE608E"/>
    <w:rsid w:val="00EE6B14"/>
    <w:rsid w:val="00EF08BF"/>
    <w:rsid w:val="00EF305C"/>
    <w:rsid w:val="00EF3421"/>
    <w:rsid w:val="00EF44A1"/>
    <w:rsid w:val="00F02FFC"/>
    <w:rsid w:val="00F049EA"/>
    <w:rsid w:val="00F11629"/>
    <w:rsid w:val="00F11D94"/>
    <w:rsid w:val="00F11FA7"/>
    <w:rsid w:val="00F124CC"/>
    <w:rsid w:val="00F12AF9"/>
    <w:rsid w:val="00F12D30"/>
    <w:rsid w:val="00F15636"/>
    <w:rsid w:val="00F21983"/>
    <w:rsid w:val="00F21BED"/>
    <w:rsid w:val="00F2232E"/>
    <w:rsid w:val="00F2311D"/>
    <w:rsid w:val="00F24DDE"/>
    <w:rsid w:val="00F2572C"/>
    <w:rsid w:val="00F27313"/>
    <w:rsid w:val="00F278BA"/>
    <w:rsid w:val="00F33CFF"/>
    <w:rsid w:val="00F41591"/>
    <w:rsid w:val="00F45E58"/>
    <w:rsid w:val="00F52381"/>
    <w:rsid w:val="00F65DD8"/>
    <w:rsid w:val="00F660BA"/>
    <w:rsid w:val="00F67B31"/>
    <w:rsid w:val="00F717A4"/>
    <w:rsid w:val="00F71F2C"/>
    <w:rsid w:val="00F725D7"/>
    <w:rsid w:val="00F8268B"/>
    <w:rsid w:val="00F84D46"/>
    <w:rsid w:val="00F91372"/>
    <w:rsid w:val="00F92EF7"/>
    <w:rsid w:val="00F95752"/>
    <w:rsid w:val="00FA1A15"/>
    <w:rsid w:val="00FA6978"/>
    <w:rsid w:val="00FA792F"/>
    <w:rsid w:val="00FB4377"/>
    <w:rsid w:val="00FB79AD"/>
    <w:rsid w:val="00FC530B"/>
    <w:rsid w:val="00FC6977"/>
    <w:rsid w:val="00FD11B4"/>
    <w:rsid w:val="00FD1D96"/>
    <w:rsid w:val="00FD510C"/>
    <w:rsid w:val="00FD5D87"/>
    <w:rsid w:val="00FD6DB9"/>
    <w:rsid w:val="00FD7C7B"/>
    <w:rsid w:val="00FE2399"/>
    <w:rsid w:val="00FE33D4"/>
    <w:rsid w:val="00FE3B27"/>
    <w:rsid w:val="00FE4DE8"/>
    <w:rsid w:val="00FE6AD9"/>
    <w:rsid w:val="00FE6CFA"/>
    <w:rsid w:val="00FE7E47"/>
    <w:rsid w:val="00FF0920"/>
    <w:rsid w:val="00FF0D6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472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customStyle="1" w:styleId="mb-3">
    <w:name w:val="mb-3"/>
    <w:basedOn w:val="Normalny"/>
    <w:rsid w:val="0089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89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472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472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ichaelstrom.pl/raporty-i-analizy/artykuly/140/Rynek-deweloperski-utrzymuje-wysokie-tempo" TargetMode="External"/><Relationship Id="rId2" Type="http://schemas.openxmlformats.org/officeDocument/2006/relationships/hyperlink" Target="https://navigatorcapital.pl/raport-sytuacja-deweloperow-mieszkaniowych-z-catalyst-po-2q-2021-r-2/" TargetMode="External"/><Relationship Id="rId1" Type="http://schemas.openxmlformats.org/officeDocument/2006/relationships/hyperlink" Target="https://michaelstrom.pl/raporty-i-analizy/artykuly/140/Rynek-deweloperski-utrzymuje-wysokie-tem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8</cp:revision>
  <dcterms:created xsi:type="dcterms:W3CDTF">2021-09-10T08:52:00Z</dcterms:created>
  <dcterms:modified xsi:type="dcterms:W3CDTF">2021-09-10T09:23:00Z</dcterms:modified>
</cp:coreProperties>
</file>